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0EE5F169" w:rsidR="000D6591" w:rsidRPr="001D53C5" w:rsidRDefault="00AB70B6" w:rsidP="000D6591">
            <w:pPr>
              <w:jc w:val="left"/>
            </w:pPr>
            <w:r w:rsidRPr="00AB70B6">
              <w:rPr>
                <w:b/>
                <w:szCs w:val="22"/>
              </w:rPr>
              <w:t>„Строително - монтажни работи за повишаване на енергийна ефективност на жилищен блок „Купена“, с административен адрес: гр. Пещера, ул.“Михаил Такев“ №37““</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СГРАДАТА ОБЕКТ НА ИНТЕРВЕНЦИЯ</w:t>
      </w:r>
      <w:r>
        <w:t>.</w:t>
      </w:r>
    </w:p>
    <w:p w14:paraId="39664BE9" w14:textId="44D54A95"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10 % (десет  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7F1A6FC4" w:rsidR="00BE4BC8" w:rsidRPr="001C1F08" w:rsidRDefault="00212BE2" w:rsidP="00212BE2">
      <w:pPr>
        <w:pStyle w:val="-3"/>
      </w:pPr>
      <w:r w:rsidRPr="00212BE2">
        <w:t>жилищен блок „Купена“, с административен адрес: гр. Пещера, ул.“Михаил Такев“ №37</w:t>
      </w:r>
      <w:bookmarkStart w:id="0" w:name="_GoBack"/>
      <w:bookmarkEnd w:id="0"/>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lastRenderedPageBreak/>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C7FF9"/>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BE2"/>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31B"/>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0B6"/>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0C2"/>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A093-4936-4606-99BF-F4224044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6887</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8079</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4</cp:revision>
  <cp:lastPrinted>2017-02-14T07:04:00Z</cp:lastPrinted>
  <dcterms:created xsi:type="dcterms:W3CDTF">2017-02-19T16:52:00Z</dcterms:created>
  <dcterms:modified xsi:type="dcterms:W3CDTF">2017-02-20T11:49:00Z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